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i/>
          <w:iCs/>
          <w:color w:val="2C2D2E"/>
          <w:sz w:val="20"/>
        </w:rPr>
        <w:t>Руководителям, юрисконсультам, арбитражным управляющим, адвокатам, начальникам финансово-экономических служб!</w:t>
      </w:r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Verdana" w:eastAsia="Times New Roman" w:hAnsi="Verdana" w:cs="Arial"/>
          <w:b/>
          <w:bCs/>
          <w:i/>
          <w:iCs/>
          <w:color w:val="0000FF"/>
          <w:sz w:val="20"/>
        </w:rPr>
        <w:t>Новые Постановления Пленума Верховного Суда РФ от 23 декабря 2025 года представляют собой важный шаг в развитии законодательства о банкротстве. Они не только устраняют существующие пробелы в правоприменительной практике, но и создают более справедливую систему распределения ответственности между контролирующими лицами.</w:t>
      </w:r>
      <w:r w:rsidRPr="00A5707C">
        <w:rPr>
          <w:rFonts w:ascii="Verdana" w:eastAsia="Times New Roman" w:hAnsi="Verdana" w:cs="Arial"/>
          <w:b/>
          <w:bCs/>
          <w:i/>
          <w:iCs/>
          <w:color w:val="008080"/>
          <w:sz w:val="20"/>
        </w:rPr>
        <w:t> </w:t>
      </w:r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Постановление № 41 от 23 декабря 2025 года Пленума ВС РФ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внесло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существенные изменения в понятие «контролирующее должника лицо» (КДЛ)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 и разъяснило вопросы, возникшие при определении очередности удовлетворения требований КДЛ. Введено новое правило о возможности преодоления в судебном порядке решение кредиторов (т.н. </w:t>
      </w:r>
      <w:proofErr w:type="spellStart"/>
      <w:r w:rsidRPr="00A5707C">
        <w:rPr>
          <w:rFonts w:ascii="Arial" w:eastAsia="Times New Roman" w:hAnsi="Arial" w:cs="Arial"/>
          <w:color w:val="2C2D2E"/>
          <w:sz w:val="20"/>
          <w:szCs w:val="20"/>
        </w:rPr>
        <w:t>крэмдаун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>). Также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Пленум ВС РФ 23 декабря 2025 года утвердил Постановление № 42, которое кардинально изменило подходы к привлечению КДЛ к ответственности при банкротстве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.</w:t>
      </w:r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В связи с декабрьскими Постановлениями ВС РФ, УЦ НТК проводит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новый семинар, на котором будут раскрыты актуальные вопросы привлечения КДЛ к субсидиарной ответственности, специфика доказывания того или иного состава ответственности и дан анализ позиций Верховного Суда РФ.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br/>
      </w:r>
      <w:r w:rsidRPr="00A5707C">
        <w:rPr>
          <w:rFonts w:ascii="Arial" w:eastAsia="Times New Roman" w:hAnsi="Arial" w:cs="Arial"/>
          <w:i/>
          <w:iCs/>
          <w:color w:val="2C2D2E"/>
          <w:sz w:val="20"/>
        </w:rPr>
        <w:t>Для достижения высокой результативности обучения </w:t>
      </w:r>
      <w:r w:rsidRPr="00A5707C">
        <w:rPr>
          <w:rFonts w:ascii="Arial" w:eastAsia="Times New Roman" w:hAnsi="Arial" w:cs="Arial"/>
          <w:b/>
          <w:bCs/>
          <w:i/>
          <w:iCs/>
          <w:color w:val="2C2D2E"/>
          <w:sz w:val="20"/>
        </w:rPr>
        <w:t>Вы можете заранее подготовить интересующие Вас вопросы и реальные случаи из Вашей практики и выслать их на почту </w:t>
      </w:r>
      <w:hyperlink r:id="rId5" w:history="1">
        <w:r w:rsidRPr="00A5707C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u w:val="single"/>
          </w:rPr>
          <w:t>ntk202408@mail.ru</w:t>
        </w:r>
      </w:hyperlink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 xml:space="preserve">НОВЫЙ семинар 2026 в </w:t>
      </w:r>
      <w:proofErr w:type="spellStart"/>
      <w:r w:rsidRPr="00A5707C">
        <w:rPr>
          <w:rFonts w:ascii="Arial" w:eastAsia="Times New Roman" w:hAnsi="Arial" w:cs="Arial"/>
          <w:b/>
          <w:bCs/>
          <w:color w:val="2C2D2E"/>
          <w:sz w:val="20"/>
        </w:rPr>
        <w:t>онлайн-режиме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> по теме</w:t>
      </w:r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0000FF"/>
          <w:sz w:val="33"/>
          <w:u w:val="single"/>
        </w:rPr>
        <w:t>НОВОЕ в СУБСИДИАРНОЙ ОТВЕТСТВЕННОСТИ в 2026 году</w:t>
      </w:r>
      <w:r w:rsidRPr="00A5707C">
        <w:rPr>
          <w:rFonts w:ascii="Arial" w:eastAsia="Times New Roman" w:hAnsi="Arial" w:cs="Arial"/>
          <w:b/>
          <w:bCs/>
          <w:color w:val="0000FF"/>
          <w:sz w:val="33"/>
        </w:rPr>
        <w:t> в свете новых Постановлений Пленума ВС РФ от 23 декабря 2025 года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br/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Дата проведения - </w:t>
      </w:r>
      <w:r w:rsidRPr="00A5707C">
        <w:rPr>
          <w:rFonts w:ascii="Arial" w:eastAsia="Times New Roman" w:hAnsi="Arial" w:cs="Arial"/>
          <w:b/>
          <w:bCs/>
          <w:color w:val="2C2D2E"/>
          <w:sz w:val="25"/>
        </w:rPr>
        <w:t xml:space="preserve">29 января 2026 года с 10.00 до 14.00 (по </w:t>
      </w:r>
      <w:proofErr w:type="spellStart"/>
      <w:r w:rsidRPr="00A5707C">
        <w:rPr>
          <w:rFonts w:ascii="Arial" w:eastAsia="Times New Roman" w:hAnsi="Arial" w:cs="Arial"/>
          <w:b/>
          <w:bCs/>
          <w:color w:val="2C2D2E"/>
          <w:sz w:val="25"/>
        </w:rPr>
        <w:t>мск</w:t>
      </w:r>
      <w:proofErr w:type="spellEnd"/>
      <w:r w:rsidRPr="00A5707C">
        <w:rPr>
          <w:rFonts w:ascii="Arial" w:eastAsia="Times New Roman" w:hAnsi="Arial" w:cs="Arial"/>
          <w:b/>
          <w:bCs/>
          <w:color w:val="2C2D2E"/>
          <w:sz w:val="25"/>
        </w:rPr>
        <w:t>)</w:t>
      </w:r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Организатор - УЦ НТК, ИНН 7722297868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br/>
      </w:r>
      <w:r w:rsidRPr="00A5707C">
        <w:rPr>
          <w:rFonts w:ascii="Arial" w:eastAsia="Times New Roman" w:hAnsi="Arial" w:cs="Arial"/>
          <w:b/>
          <w:bCs/>
          <w:i/>
          <w:iCs/>
          <w:color w:val="2C2D2E"/>
          <w:sz w:val="20"/>
        </w:rPr>
        <w:t xml:space="preserve">Стоимость участия в </w:t>
      </w:r>
      <w:proofErr w:type="spellStart"/>
      <w:r w:rsidRPr="00A5707C">
        <w:rPr>
          <w:rFonts w:ascii="Arial" w:eastAsia="Times New Roman" w:hAnsi="Arial" w:cs="Arial"/>
          <w:b/>
          <w:bCs/>
          <w:i/>
          <w:iCs/>
          <w:color w:val="2C2D2E"/>
          <w:sz w:val="20"/>
        </w:rPr>
        <w:t>вебинаре</w:t>
      </w:r>
      <w:proofErr w:type="spellEnd"/>
      <w:r w:rsidRPr="00A5707C">
        <w:rPr>
          <w:rFonts w:ascii="Arial" w:eastAsia="Times New Roman" w:hAnsi="Arial" w:cs="Arial"/>
          <w:b/>
          <w:bCs/>
          <w:i/>
          <w:iCs/>
          <w:color w:val="2C2D2E"/>
          <w:sz w:val="20"/>
        </w:rPr>
        <w:t xml:space="preserve"> - 7500,00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br/>
      </w:r>
      <w:r w:rsidRPr="00A5707C">
        <w:rPr>
          <w:rFonts w:ascii="Arial" w:eastAsia="Times New Roman" w:hAnsi="Arial" w:cs="Arial"/>
          <w:i/>
          <w:iCs/>
          <w:color w:val="2C2D2E"/>
          <w:sz w:val="20"/>
        </w:rPr>
        <w:t>Оплата участия возможна как от юридического лица по договору, так и от физического лица (</w:t>
      </w:r>
      <w:proofErr w:type="spellStart"/>
      <w:r w:rsidRPr="00A5707C">
        <w:rPr>
          <w:rFonts w:ascii="Arial" w:eastAsia="Times New Roman" w:hAnsi="Arial" w:cs="Arial"/>
          <w:i/>
          <w:iCs/>
          <w:color w:val="2C2D2E"/>
          <w:sz w:val="20"/>
        </w:rPr>
        <w:t>онлайн-оплата</w:t>
      </w:r>
      <w:proofErr w:type="spellEnd"/>
      <w:r w:rsidRPr="00A5707C">
        <w:rPr>
          <w:rFonts w:ascii="Arial" w:eastAsia="Times New Roman" w:hAnsi="Arial" w:cs="Arial"/>
          <w:i/>
          <w:iCs/>
          <w:color w:val="2C2D2E"/>
          <w:sz w:val="20"/>
        </w:rPr>
        <w:t>).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br/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Заявки на участие </w:t>
      </w:r>
      <w:r w:rsidRPr="00A5707C">
        <w:rPr>
          <w:rFonts w:ascii="Arial" w:eastAsia="Times New Roman" w:hAnsi="Arial" w:cs="Arial"/>
          <w:b/>
          <w:bCs/>
          <w:color w:val="008080"/>
          <w:sz w:val="20"/>
        </w:rPr>
        <w:t> 8(499)755-78-68, </w:t>
      </w:r>
      <w:r w:rsidRPr="00A5707C">
        <w:rPr>
          <w:rFonts w:ascii="Arial" w:eastAsia="Times New Roman" w:hAnsi="Arial" w:cs="Arial"/>
          <w:b/>
          <w:bCs/>
          <w:color w:val="008080"/>
          <w:sz w:val="25"/>
        </w:rPr>
        <w:t>8(925)706 85 38</w:t>
      </w:r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hyperlink r:id="rId6" w:tooltip="РЕГИСТРАЦИЯ" w:history="1">
        <w:r w:rsidRPr="00A5707C">
          <w:rPr>
            <w:rFonts w:ascii="Arial" w:eastAsia="Times New Roman" w:hAnsi="Arial" w:cs="Arial"/>
            <w:b/>
            <w:bCs/>
            <w:color w:val="0000FF"/>
            <w:sz w:val="25"/>
            <w:u w:val="single"/>
          </w:rPr>
          <w:t>РЕГИСТРАЦИЯ</w:t>
        </w:r>
      </w:hyperlink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Лектор -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 xml:space="preserve">Сорокина Е.А., судья Седьмого Арбитражного </w:t>
      </w:r>
      <w:proofErr w:type="spellStart"/>
      <w:r w:rsidRPr="00A5707C">
        <w:rPr>
          <w:rFonts w:ascii="Arial" w:eastAsia="Times New Roman" w:hAnsi="Arial" w:cs="Arial"/>
          <w:b/>
          <w:bCs/>
          <w:color w:val="2C2D2E"/>
          <w:sz w:val="20"/>
        </w:rPr>
        <w:t>аппеляционного</w:t>
      </w:r>
      <w:proofErr w:type="spellEnd"/>
      <w:r w:rsidRPr="00A5707C">
        <w:rPr>
          <w:rFonts w:ascii="Arial" w:eastAsia="Times New Roman" w:hAnsi="Arial" w:cs="Arial"/>
          <w:b/>
          <w:bCs/>
          <w:color w:val="2C2D2E"/>
          <w:sz w:val="20"/>
        </w:rPr>
        <w:t xml:space="preserve"> суда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в отставке, с большим опытом в рассмотрении споров, возникающих из гражданских и иных правоотношений, ведущий преподаватель курсов повышения квалификации арбитражных управляющих и юристов в сфере банкротства. </w:t>
      </w:r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В программе: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br/>
      </w:r>
      <w:r w:rsidRPr="00A5707C">
        <w:rPr>
          <w:rFonts w:ascii="Arial" w:eastAsia="Times New Roman" w:hAnsi="Arial" w:cs="Arial"/>
          <w:b/>
          <w:bCs/>
          <w:color w:val="2C2D2E"/>
          <w:sz w:val="20"/>
          <w:u w:val="single"/>
        </w:rPr>
        <w:t xml:space="preserve">1. НОВЫЕ ТРЕБОВАНИЯ контролирующих должника лиц и </w:t>
      </w:r>
      <w:proofErr w:type="spellStart"/>
      <w:r w:rsidRPr="00A5707C">
        <w:rPr>
          <w:rFonts w:ascii="Arial" w:eastAsia="Times New Roman" w:hAnsi="Arial" w:cs="Arial"/>
          <w:b/>
          <w:bCs/>
          <w:color w:val="2C2D2E"/>
          <w:sz w:val="20"/>
          <w:u w:val="single"/>
        </w:rPr>
        <w:t>аффилированных</w:t>
      </w:r>
      <w:proofErr w:type="spellEnd"/>
      <w:r w:rsidRPr="00A5707C">
        <w:rPr>
          <w:rFonts w:ascii="Arial" w:eastAsia="Times New Roman" w:hAnsi="Arial" w:cs="Arial"/>
          <w:b/>
          <w:bCs/>
          <w:color w:val="2C2D2E"/>
          <w:sz w:val="20"/>
          <w:u w:val="single"/>
        </w:rPr>
        <w:t xml:space="preserve"> лиц должника в процедурах банкротства 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(Пост. Пленума ВС РФ № 41 от 23.12.2025 г. «Об установлении в процедурах банкротства требований контролирующих должника лиц и </w:t>
      </w:r>
      <w:proofErr w:type="spellStart"/>
      <w:r w:rsidRPr="00A5707C">
        <w:rPr>
          <w:rFonts w:ascii="Arial" w:eastAsia="Times New Roman" w:hAnsi="Arial" w:cs="Arial"/>
          <w:color w:val="2C2D2E"/>
          <w:sz w:val="20"/>
          <w:szCs w:val="20"/>
        </w:rPr>
        <w:t>аффилированных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 лиц должника») -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ключевые позиции: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 xml:space="preserve">Понятие и признаки контролирующего и </w:t>
      </w:r>
      <w:proofErr w:type="spellStart"/>
      <w:r w:rsidRPr="00A5707C">
        <w:rPr>
          <w:rFonts w:ascii="Arial" w:eastAsia="Times New Roman" w:hAnsi="Arial" w:cs="Arial"/>
          <w:b/>
          <w:bCs/>
          <w:color w:val="2C2D2E"/>
          <w:sz w:val="20"/>
        </w:rPr>
        <w:t>аффилированного</w:t>
      </w:r>
      <w:proofErr w:type="spellEnd"/>
      <w:r w:rsidRPr="00A5707C">
        <w:rPr>
          <w:rFonts w:ascii="Arial" w:eastAsia="Times New Roman" w:hAnsi="Arial" w:cs="Arial"/>
          <w:b/>
          <w:bCs/>
          <w:color w:val="2C2D2E"/>
          <w:sz w:val="20"/>
        </w:rPr>
        <w:t xml:space="preserve"> с должником лица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. Номинальный и фактический директор.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Распределение бремени доказывания при установлении в реестре требований таких лиц.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Факт наличия отношений контроля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 или </w:t>
      </w:r>
      <w:proofErr w:type="spellStart"/>
      <w:r w:rsidRPr="00A5707C">
        <w:rPr>
          <w:rFonts w:ascii="Arial" w:eastAsia="Times New Roman" w:hAnsi="Arial" w:cs="Arial"/>
          <w:color w:val="2C2D2E"/>
          <w:sz w:val="20"/>
          <w:szCs w:val="20"/>
        </w:rPr>
        <w:t>аффилированности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 при отказе во включении требований в реестр.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Очередность удовлетворения требований из компенсационного финансирования.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Виды компенсационного финансирования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Обстоятельства, в которых отсрочка, рассрочка платежа и </w:t>
      </w:r>
      <w:proofErr w:type="spellStart"/>
      <w:r w:rsidRPr="00A5707C">
        <w:rPr>
          <w:rFonts w:ascii="Arial" w:eastAsia="Times New Roman" w:hAnsi="Arial" w:cs="Arial"/>
          <w:color w:val="2C2D2E"/>
          <w:sz w:val="20"/>
          <w:szCs w:val="20"/>
        </w:rPr>
        <w:t>невостребование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 задолженности не признается компенсационным финансированием.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Случаи, когда выкуп требований у независимых кредиторов подпадает под понятие компенсационного финансирования.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Договор уступки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и характер требования.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Признание компенсационным финансирования в условиях недостаточности размера уставного капитала.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lastRenderedPageBreak/>
        <w:t>Финансирование в условиях согласованной санации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. Интересы </w:t>
      </w:r>
      <w:proofErr w:type="spellStart"/>
      <w:r w:rsidRPr="00A5707C">
        <w:rPr>
          <w:rFonts w:ascii="Arial" w:eastAsia="Times New Roman" w:hAnsi="Arial" w:cs="Arial"/>
          <w:color w:val="2C2D2E"/>
          <w:sz w:val="20"/>
          <w:szCs w:val="20"/>
        </w:rPr>
        <w:t>миноритарных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 кредиторов.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Судьба текущего финансирования.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Процедура банкротства контролирующего лица и очередность удовлетворения его требования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Квалификация требований недобровольных кредиторов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, а также кредиторов, имеющих полномочия контроля.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Понижение требований лиц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, виновных в причинении убытков.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Правовое положение лиц, обладающих пониженными требованиями.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Исключение из правила о невозможности оспаривания сделок по заявлению данных лиц.</w:t>
      </w:r>
    </w:p>
    <w:p w:rsidR="00A5707C" w:rsidRPr="00A5707C" w:rsidRDefault="00A5707C" w:rsidP="00A57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Актуальная очередность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требований кредиторов.</w:t>
      </w:r>
    </w:p>
    <w:p w:rsidR="00A5707C" w:rsidRPr="00A5707C" w:rsidRDefault="00A5707C" w:rsidP="00A5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2. </w:t>
      </w:r>
      <w:r w:rsidRPr="00A5707C">
        <w:rPr>
          <w:rFonts w:ascii="Arial" w:eastAsia="Times New Roman" w:hAnsi="Arial" w:cs="Arial"/>
          <w:b/>
          <w:bCs/>
          <w:color w:val="2C2D2E"/>
          <w:sz w:val="20"/>
          <w:u w:val="single"/>
        </w:rPr>
        <w:t>НОВЫЕ ПОДХОДЫ к ПРИВЛЕЧЕНИЮ контролирующих должника лиц к ОТВЕТСТВЕННОСТИ при банкротстве</w:t>
      </w:r>
      <w:r w:rsidRPr="00A5707C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> (Пост. Пленума ВС РФ № 42 от 23.12.2025 г. «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О внесении изменений в постановление Пленума ВС РФ от 21.12.2017 года № 53</w:t>
      </w:r>
      <w:r w:rsidRPr="00A5707C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> «О некоторых вопросах, связанных с привлечением контролирующих должника лиц к ответственности при банкротстве»).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Одновременное применение двух форм ответственности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— субсидиарной ответственности по долгам компании и возмещения убытков, причиненных недобросовестными действиями контролирующих лиц. Переквалификация требований по данной категории споров.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proofErr w:type="spellStart"/>
      <w:r w:rsidRPr="00A5707C">
        <w:rPr>
          <w:rFonts w:ascii="Arial" w:eastAsia="Times New Roman" w:hAnsi="Arial" w:cs="Arial"/>
          <w:b/>
          <w:bCs/>
          <w:color w:val="2C2D2E"/>
          <w:sz w:val="20"/>
        </w:rPr>
        <w:t>Персонализация</w:t>
      </w:r>
      <w:proofErr w:type="spellEnd"/>
      <w:r w:rsidRPr="00A5707C">
        <w:rPr>
          <w:rFonts w:ascii="Arial" w:eastAsia="Times New Roman" w:hAnsi="Arial" w:cs="Arial"/>
          <w:b/>
          <w:bCs/>
          <w:color w:val="2C2D2E"/>
          <w:sz w:val="20"/>
        </w:rPr>
        <w:t xml:space="preserve"> ответственности: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индивидуальный подход к каждому контролирующему лицу. Персональная ответственность членов коллегиального органа и ограничение пределами причиненного вреда.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Новый порядок расчета субсидиарной ответственности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– что принимается в расчет.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Активная защита прав КДЛ на этапе формирования реестра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- новое правило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Субсидиарная ответственность и обременение наследственной массы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. Наследование обязательств по субсидиарной ответственности - включение обязанности по уплате СО в состав наследственной массы КДЛ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Ведение рисковой деятельности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– не основание для субсидиарной ответственности.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Уступка требований заинтересованным лицом в пользу независимого и наоборот.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Очередность и пропорциональность при распоряжении правом требованием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в условиях снижения субсидиарной ответственности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Условия включения в размер субсидиарной ответственности требований по компенсационному финансированию.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Снижение размера ответственности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при отсутствии правовой связи между допущенным контролирующим лицом деликтом и возникшими убытками, при осведомленности кредиторов о деликте.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Возможность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дополнительного увеличения размера ответственности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Утрата контролирующим лицом прав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на возражения при несвоевременном раскрытии своего статуса.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Право на предъявление заявления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о привлечении к субсидиарной ответственности вне дела о банкротстве – подкрепление судебным актом.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Право прокурора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выступать заявителям по делам о привлечении к субсидиарной ответственности.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Обеспечительные меры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– правила и ограничения.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Заявление о привлечении к субсидиарной ответственности в деле о банкротстве контролирующего лица.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Привлечение потенциального контролирующего лица к участию в деле в качестве третьего лица.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color w:val="2C2D2E"/>
          <w:sz w:val="20"/>
          <w:szCs w:val="20"/>
        </w:rPr>
        <w:t>Последствия непредставления отзыва.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Убытки по общему правилу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и их распределение.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Стимулирующее вознаграждение арбитражного управляющего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и возможность его взыскания с контролирующего лица.</w:t>
      </w:r>
    </w:p>
    <w:p w:rsidR="00A5707C" w:rsidRPr="00A5707C" w:rsidRDefault="00A5707C" w:rsidP="00A57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Тенденции судебной практики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(в т.ч. привлечения руководителя (гендиректора) должника). Важные выводы ВС РФ о СО контролирующих должника лиц</w:t>
      </w:r>
    </w:p>
    <w:p w:rsidR="00A5707C" w:rsidRPr="00A5707C" w:rsidRDefault="00A5707C" w:rsidP="00A5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07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2c2d2e" stroked="f"/>
        </w:pict>
      </w:r>
    </w:p>
    <w:p w:rsidR="00A5707C" w:rsidRPr="00A5707C" w:rsidRDefault="00A5707C" w:rsidP="00A570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</w:rPr>
      </w:pPr>
      <w:r w:rsidRPr="00A5707C">
        <w:rPr>
          <w:rFonts w:ascii="Arial" w:eastAsia="Times New Roman" w:hAnsi="Arial" w:cs="Arial"/>
          <w:b/>
          <w:bCs/>
          <w:color w:val="2C2D2E"/>
          <w:sz w:val="20"/>
        </w:rPr>
        <w:t xml:space="preserve">В стоимость </w:t>
      </w:r>
      <w:proofErr w:type="spellStart"/>
      <w:r w:rsidRPr="00A5707C">
        <w:rPr>
          <w:rFonts w:ascii="Arial" w:eastAsia="Times New Roman" w:hAnsi="Arial" w:cs="Arial"/>
          <w:b/>
          <w:bCs/>
          <w:color w:val="2C2D2E"/>
          <w:sz w:val="20"/>
        </w:rPr>
        <w:t>вебинара</w:t>
      </w:r>
      <w:proofErr w:type="spellEnd"/>
      <w:r w:rsidRPr="00A5707C">
        <w:rPr>
          <w:rFonts w:ascii="Arial" w:eastAsia="Times New Roman" w:hAnsi="Arial" w:cs="Arial"/>
          <w:b/>
          <w:bCs/>
          <w:color w:val="2C2D2E"/>
          <w:sz w:val="20"/>
        </w:rPr>
        <w:t xml:space="preserve"> - 7500,00 -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 включены </w:t>
      </w:r>
      <w:proofErr w:type="spellStart"/>
      <w:r w:rsidRPr="00A5707C">
        <w:rPr>
          <w:rFonts w:ascii="Arial" w:eastAsia="Times New Roman" w:hAnsi="Arial" w:cs="Arial"/>
          <w:color w:val="2C2D2E"/>
          <w:sz w:val="20"/>
          <w:szCs w:val="20"/>
        </w:rPr>
        <w:t>онлайн-участие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>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с возможностью задавать вопросы напрямую лектору и писать в чате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, последующая ссылка на </w:t>
      </w:r>
      <w:proofErr w:type="spellStart"/>
      <w:r w:rsidRPr="00A5707C">
        <w:rPr>
          <w:rFonts w:ascii="Arial" w:eastAsia="Times New Roman" w:hAnsi="Arial" w:cs="Arial"/>
          <w:color w:val="2C2D2E"/>
          <w:sz w:val="20"/>
          <w:szCs w:val="20"/>
        </w:rPr>
        <w:t>google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 </w:t>
      </w:r>
      <w:proofErr w:type="spellStart"/>
      <w:r w:rsidRPr="00A5707C">
        <w:rPr>
          <w:rFonts w:ascii="Arial" w:eastAsia="Times New Roman" w:hAnsi="Arial" w:cs="Arial"/>
          <w:color w:val="2C2D2E"/>
          <w:sz w:val="20"/>
          <w:szCs w:val="20"/>
        </w:rPr>
        <w:t>disk</w:t>
      </w:r>
      <w:proofErr w:type="spellEnd"/>
      <w:r w:rsidRPr="00A5707C">
        <w:rPr>
          <w:rFonts w:ascii="Arial" w:eastAsia="Times New Roman" w:hAnsi="Arial" w:cs="Arial"/>
          <w:color w:val="2C2D2E"/>
          <w:sz w:val="20"/>
          <w:szCs w:val="20"/>
        </w:rPr>
        <w:t xml:space="preserve"> с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полной видеозаписью семинара, презентациями и материалами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 лекторов по теме семинара, </w:t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Именной сертификат участника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t>.</w:t>
      </w:r>
      <w:r w:rsidRPr="00A5707C">
        <w:rPr>
          <w:rFonts w:ascii="Arial" w:eastAsia="Times New Roman" w:hAnsi="Arial" w:cs="Arial"/>
          <w:color w:val="2C2D2E"/>
          <w:sz w:val="20"/>
          <w:szCs w:val="20"/>
        </w:rPr>
        <w:br/>
      </w:r>
      <w:r w:rsidRPr="00A5707C">
        <w:rPr>
          <w:rFonts w:ascii="Arial" w:eastAsia="Times New Roman" w:hAnsi="Arial" w:cs="Arial"/>
          <w:b/>
          <w:bCs/>
          <w:color w:val="2C2D2E"/>
          <w:sz w:val="20"/>
        </w:rPr>
        <w:t>Заявки на участие: </w:t>
      </w:r>
      <w:r w:rsidRPr="00A5707C">
        <w:rPr>
          <w:rFonts w:ascii="Arial" w:eastAsia="Times New Roman" w:hAnsi="Arial" w:cs="Arial"/>
          <w:b/>
          <w:bCs/>
          <w:color w:val="008080"/>
          <w:sz w:val="25"/>
        </w:rPr>
        <w:t>8(916)337 03 39</w:t>
      </w:r>
    </w:p>
    <w:p w:rsidR="006709A6" w:rsidRDefault="006709A6"/>
    <w:sectPr w:rsidR="006709A6" w:rsidSect="00A570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2F04"/>
    <w:multiLevelType w:val="multilevel"/>
    <w:tmpl w:val="A62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2A1DE0"/>
    <w:multiLevelType w:val="multilevel"/>
    <w:tmpl w:val="9AF4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A5707C"/>
    <w:rsid w:val="006709A6"/>
    <w:rsid w:val="00A5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5707C"/>
    <w:rPr>
      <w:i/>
      <w:iCs/>
    </w:rPr>
  </w:style>
  <w:style w:type="character" w:styleId="a5">
    <w:name w:val="Strong"/>
    <w:basedOn w:val="a0"/>
    <w:uiPriority w:val="22"/>
    <w:qFormat/>
    <w:rsid w:val="00A5707C"/>
    <w:rPr>
      <w:b/>
      <w:bCs/>
    </w:rPr>
  </w:style>
  <w:style w:type="character" w:styleId="a6">
    <w:name w:val="Hyperlink"/>
    <w:basedOn w:val="a0"/>
    <w:uiPriority w:val="99"/>
    <w:semiHidden/>
    <w:unhideWhenUsed/>
    <w:rsid w:val="00A570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sKec8GRkSd3jYWZBDO0S2t86p7Hh2g3M2nAdwrpIifIx9Qw/viewform?usp=sharing" TargetMode="External"/><Relationship Id="rId5" Type="http://schemas.openxmlformats.org/officeDocument/2006/relationships/hyperlink" Target="mailto:ntk2024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5810</Characters>
  <Application>Microsoft Office Word</Application>
  <DocSecurity>0</DocSecurity>
  <Lines>48</Lines>
  <Paragraphs>13</Paragraphs>
  <ScaleCrop>false</ScaleCrop>
  <Company>Grizli777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2026-01-15T13:47:00Z</dcterms:created>
  <dcterms:modified xsi:type="dcterms:W3CDTF">2026-01-15T13:49:00Z</dcterms:modified>
</cp:coreProperties>
</file>